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4535" w:val="left" w:leader="dot"/>
        </w:tabs>
        <w:spacing w:after="60" w:before="0"/>
        <w:ind w:left="0"/>
      </w:pPr>
      <w:r>
        <w:rPr>
          <w:b w:val="0"/>
          <w:color w:val="64748B"/>
          <w:sz w:val="17"/>
        </w:rPr>
        <w:t xml:space="preserve">Prénom et nom </w:t>
      </w:r>
      <w:r>
        <w:tab/>
      </w:r>
    </w:p>
    <w:p>
      <w:pPr>
        <w:tabs>
          <w:tab w:pos="4535" w:val="left" w:leader="dot"/>
        </w:tabs>
        <w:spacing w:after="60" w:before="0"/>
        <w:ind w:left="0"/>
      </w:pPr>
      <w:r>
        <w:rPr>
          <w:b w:val="0"/>
          <w:color w:val="64748B"/>
          <w:sz w:val="17"/>
        </w:rPr>
        <w:t xml:space="preserve">Adresse </w:t>
      </w:r>
      <w:r>
        <w:tab/>
      </w:r>
    </w:p>
    <w:p>
      <w:pPr>
        <w:tabs>
          <w:tab w:pos="4535" w:val="left" w:leader="dot"/>
        </w:tabs>
        <w:spacing w:after="60" w:before="0"/>
        <w:ind w:left="0"/>
      </w:pPr>
      <w:r>
        <w:rPr>
          <w:b w:val="0"/>
          <w:color w:val="64748B"/>
          <w:sz w:val="17"/>
        </w:rPr>
        <w:t xml:space="preserve">Code postal et ville </w:t>
      </w:r>
      <w:r>
        <w:tab/>
      </w:r>
    </w:p>
    <w:p>
      <w:pPr>
        <w:tabs>
          <w:tab w:pos="4535" w:val="left" w:leader="dot"/>
        </w:tabs>
        <w:spacing w:after="60" w:before="0"/>
        <w:ind w:left="0"/>
      </w:pPr>
      <w:r>
        <w:rPr>
          <w:b w:val="0"/>
          <w:color w:val="64748B"/>
          <w:sz w:val="17"/>
        </w:rPr>
        <w:t xml:space="preserve">Téléphone </w:t>
      </w:r>
      <w:r>
        <w:tab/>
      </w:r>
    </w:p>
    <w:p>
      <w:pPr>
        <w:tabs>
          <w:tab w:pos="4535" w:val="left" w:leader="dot"/>
        </w:tabs>
        <w:spacing w:after="60" w:before="0"/>
        <w:ind w:left="0"/>
      </w:pPr>
      <w:r>
        <w:rPr>
          <w:b w:val="0"/>
          <w:color w:val="64748B"/>
          <w:sz w:val="17"/>
        </w:rPr>
        <w:t xml:space="preserve">E-mail </w:t>
      </w:r>
      <w:r>
        <w:tab/>
      </w:r>
    </w:p>
    <w:p>
      <w:pPr>
        <w:tabs>
          <w:tab w:pos="7682" w:val="left" w:leader="dot"/>
          <w:tab w:pos="9751" w:val="left" w:leader="dot"/>
        </w:tabs>
        <w:spacing w:after="280" w:before="0"/>
        <w:ind w:left="5386"/>
      </w:pPr>
      <w:r>
        <w:rPr>
          <w:b w:val="0"/>
        </w:rPr>
        <w:t xml:space="preserve">Fait à </w:t>
      </w:r>
      <w:r>
        <w:tab/>
      </w:r>
      <w:r>
        <w:rPr>
          <w:b w:val="0"/>
        </w:rPr>
        <w:t xml:space="preserve">, le </w:t>
      </w:r>
      <w:r>
        <w:tab/>
      </w:r>
    </w:p>
    <w:p>
      <w:pPr>
        <w:spacing w:after="20" w:before="0"/>
        <w:ind w:left="0"/>
      </w:pPr>
      <w:r>
        <w:rPr>
          <w:b/>
          <w:sz w:val="30"/>
        </w:rPr>
        <w:t>Restitution de la garantie locative</w:t>
      </w:r>
    </w:p>
    <w:p>
      <w:pPr>
        <w:spacing w:after="240" w:before="0"/>
        <w:ind w:left="0"/>
      </w:pPr>
      <w:r>
        <w:rPr>
          <w:b w:val="0"/>
          <w:color w:val="475569"/>
          <w:sz w:val="19"/>
        </w:rPr>
        <w:t>Envoyée par le bailleur au locataire. Logement loué au Luxembourg. Pour la restitution de la moitié dans le mois, ou pour la régularisation définitive.</w:t>
      </w:r>
    </w:p>
    <w:p>
      <w:pPr>
        <w:spacing w:after="40" w:before="0"/>
        <w:ind w:left="0"/>
      </w:pPr>
      <w:r>
        <w:rPr>
          <w:b/>
        </w:rPr>
        <w:t>Destinataire</w:t>
      </w:r>
    </w:p>
    <w:p>
      <w:pPr>
        <w:tabs>
          <w:tab w:pos="9751" w:val="left" w:leader="dot"/>
        </w:tabs>
        <w:spacing w:after="100" w:before="0"/>
        <w:ind w:left="340"/>
      </w:pPr>
      <w:r>
        <w:rPr>
          <w:b w:val="0"/>
        </w:rPr>
        <w:t xml:space="preserve">Locataire(s) </w:t>
      </w:r>
      <w:r>
        <w:tab/>
      </w:r>
    </w:p>
    <w:p>
      <w:pPr>
        <w:tabs>
          <w:tab w:pos="9751" w:val="left" w:leader="dot"/>
        </w:tabs>
        <w:spacing w:after="180" w:before="0"/>
        <w:ind w:left="340"/>
      </w:pPr>
      <w:r>
        <w:rPr>
          <w:b w:val="0"/>
        </w:rPr>
        <w:t xml:space="preserve">Nouvelle adresse </w:t>
      </w:r>
      <w:r>
        <w:tab/>
      </w:r>
    </w:p>
    <w:p>
      <w:pPr>
        <w:spacing w:after="40" w:before="0"/>
        <w:ind w:left="0"/>
      </w:pPr>
      <w:r>
        <w:rPr>
          <w:b/>
        </w:rPr>
        <w:t>Logement</w:t>
      </w:r>
    </w:p>
    <w:p>
      <w:pPr>
        <w:tabs>
          <w:tab w:pos="9751" w:val="left" w:leader="dot"/>
        </w:tabs>
        <w:spacing w:after="100" w:before="0"/>
        <w:ind w:left="340"/>
      </w:pPr>
      <w:r>
        <w:rPr>
          <w:b w:val="0"/>
        </w:rPr>
        <w:t xml:space="preserve">Situé </w:t>
      </w:r>
      <w:r>
        <w:tab/>
      </w:r>
    </w:p>
    <w:p>
      <w:pPr>
        <w:tabs>
          <w:tab w:pos="9751" w:val="left" w:leader="dot"/>
        </w:tabs>
        <w:spacing w:after="180" w:before="0"/>
        <w:ind w:left="340"/>
      </w:pPr>
      <w:r>
        <w:rPr>
          <w:b w:val="0"/>
        </w:rPr>
        <w:t xml:space="preserve">Bail signé le </w:t>
      </w:r>
      <w:r>
        <w:tab/>
      </w:r>
    </w:p>
    <w:p>
      <w:pPr>
        <w:spacing w:after="40" w:before="0"/>
        <w:ind w:left="0"/>
      </w:pPr>
      <w:r>
        <w:rPr>
          <w:b/>
        </w:rPr>
        <w:t>Sortie</w:t>
      </w:r>
    </w:p>
    <w:p>
      <w:pPr>
        <w:tabs>
          <w:tab w:pos="9751" w:val="left" w:leader="dot"/>
        </w:tabs>
        <w:spacing w:after="100" w:before="0"/>
        <w:ind w:left="340"/>
      </w:pPr>
      <w:r>
        <w:rPr>
          <w:b w:val="0"/>
        </w:rPr>
        <w:t xml:space="preserve">Clés remises le </w:t>
      </w:r>
      <w:r>
        <w:tab/>
      </w:r>
    </w:p>
    <w:p>
      <w:pPr>
        <w:spacing w:after="180" w:before="0"/>
        <w:ind w:left="340"/>
      </w:pPr>
      <w:r>
        <w:rPr>
          <w:b w:val="0"/>
        </w:rPr>
        <w:t xml:space="preserve">État des lieux de sortie </w:t>
      </w:r>
      <w:r>
        <w:rPr>
          <w:b w:val="0"/>
        </w:rPr>
        <w:t xml:space="preserve"> ☐ conforme à l’entrée </w:t>
      </w:r>
      <w:r>
        <w:rPr>
          <w:b w:val="0"/>
        </w:rPr>
        <w:t xml:space="preserve"> </w:t>
      </w:r>
      <w:r>
        <w:rPr>
          <w:b w:val="0"/>
        </w:rPr>
        <w:t xml:space="preserve"> ☐ avec des différences </w:t>
      </w:r>
    </w:p>
    <w:p>
      <w:pPr>
        <w:spacing w:after="40" w:before="0"/>
        <w:ind w:left="0"/>
      </w:pPr>
      <w:r>
        <w:rPr>
          <w:b/>
        </w:rPr>
        <w:t>Objet</w:t>
      </w:r>
    </w:p>
    <w:p>
      <w:pPr>
        <w:spacing w:after="180" w:before="0"/>
        <w:ind w:left="340"/>
      </w:pPr>
      <w:r>
        <w:rPr>
          <w:b w:val="0"/>
        </w:rPr>
        <w:t xml:space="preserve"> ☐ la moitié de la garantie </w:t>
      </w:r>
      <w:r>
        <w:rPr>
          <w:b w:val="0"/>
        </w:rPr>
        <w:t xml:space="preserve"> </w:t>
      </w:r>
      <w:r>
        <w:rPr>
          <w:b w:val="0"/>
        </w:rPr>
        <w:t xml:space="preserve"> ☐ le solde, après le décompte des charges </w:t>
      </w:r>
    </w:p>
    <w:tbl>
      <w:tblPr>
        <w:tblStyle w:val="TableGrid"/>
        <w:tblW w:type="auto" w:w="0"/>
        <w:tblLook w:firstColumn="1" w:firstRow="1" w:lastColumn="0" w:lastRow="0" w:noHBand="0" w:noVBand="1" w:val="04A0"/>
      </w:tblPr>
      <w:tblGrid>
        <w:gridCol w:w="3251"/>
        <w:gridCol w:w="3251"/>
        <w:gridCol w:w="3251"/>
      </w:tblGrid>
      <w:tr>
        <w:tc>
          <w:tcPr>
            <w:tcW w:type="dxa" w:w="4876"/>
          </w:tcPr>
          <w:p>
            <w:r>
              <w:rPr>
                <w:b/>
              </w:rPr>
              <w:t>Décompte</w:t>
            </w:r>
          </w:p>
        </w:tc>
        <w:tc>
          <w:tcPr>
            <w:tcW w:type="dxa" w:w="3402"/>
          </w:tcPr>
          <w:p>
            <w:r>
              <w:rPr>
                <w:b/>
              </w:rPr>
              <w:t>Justificatif joint</w:t>
            </w:r>
          </w:p>
        </w:tc>
        <w:tc>
          <w:tcPr>
            <w:tcW w:type="dxa" w:w="1474"/>
          </w:tcPr>
          <w:p>
            <w:r>
              <w:rPr>
                <w:b/>
              </w:rPr>
              <w:t>Montant</w:t>
            </w:r>
          </w:p>
        </w:tc>
      </w:tr>
      <w:tr>
        <w:tc>
          <w:tcPr>
            <w:tcW w:type="dxa" w:w="4876"/>
          </w:tcPr>
          <w:p>
            <w:r>
              <w:t>Garantie locative</w:t>
            </w:r>
          </w:p>
        </w:tc>
        <w:tc>
          <w:tcPr>
            <w:tcW w:type="dxa" w:w="3402"/>
          </w:tcPr>
          <w:p/>
        </w:tc>
        <w:tc>
          <w:tcPr>
            <w:tcW w:type="dxa" w:w="1474"/>
          </w:tcPr>
          <w:p/>
        </w:tc>
      </w:tr>
      <w:tr>
        <w:tc>
          <w:tcPr>
            <w:tcW w:type="dxa" w:w="4876"/>
          </w:tcPr>
          <w:p>
            <w:r>
              <w:t>Déjà restitué</w:t>
            </w:r>
          </w:p>
        </w:tc>
        <w:tc>
          <w:tcPr>
            <w:tcW w:type="dxa" w:w="3402"/>
          </w:tcPr>
          <w:p/>
        </w:tc>
        <w:tc>
          <w:tcPr>
            <w:tcW w:type="dxa" w:w="1474"/>
          </w:tcPr>
          <w:p/>
        </w:tc>
      </w:tr>
      <w:tr>
        <w:tc>
          <w:tcPr>
            <w:tcW w:type="dxa" w:w="4876"/>
          </w:tcPr>
          <w:p>
            <w:r>
              <w:t>Retenue :</w:t>
            </w:r>
          </w:p>
        </w:tc>
        <w:tc>
          <w:tcPr>
            <w:tcW w:type="dxa" w:w="3402"/>
          </w:tcPr>
          <w:p/>
        </w:tc>
        <w:tc>
          <w:tcPr>
            <w:tcW w:type="dxa" w:w="1474"/>
          </w:tcPr>
          <w:p/>
        </w:tc>
      </w:tr>
      <w:tr>
        <w:tc>
          <w:tcPr>
            <w:tcW w:type="dxa" w:w="4876"/>
          </w:tcPr>
          <w:p>
            <w:r>
              <w:t>Charges selon le décompte</w:t>
            </w:r>
          </w:p>
        </w:tc>
        <w:tc>
          <w:tcPr>
            <w:tcW w:type="dxa" w:w="3402"/>
          </w:tcPr>
          <w:p/>
        </w:tc>
        <w:tc>
          <w:tcPr>
            <w:tcW w:type="dxa" w:w="1474"/>
          </w:tcPr>
          <w:p/>
        </w:tc>
      </w:tr>
      <w:tr>
        <w:tc>
          <w:tcPr>
            <w:tcW w:type="dxa" w:w="4876"/>
          </w:tcPr>
          <w:p>
            <w:r>
              <w:t>Montant restitué ce jour</w:t>
            </w:r>
          </w:p>
        </w:tc>
        <w:tc>
          <w:tcPr>
            <w:tcW w:type="dxa" w:w="3402"/>
          </w:tcPr>
          <w:p/>
        </w:tc>
        <w:tc>
          <w:tcPr>
            <w:tcW w:type="dxa" w:w="1474"/>
          </w:tcPr>
          <w:p/>
        </w:tc>
      </w:tr>
    </w:tbl>
    <w:p>
      <w:pPr>
        <w:spacing w:after="160" w:before="0"/>
        <w:ind w:left="0"/>
      </w:pPr>
    </w:p>
    <w:p>
      <w:pPr>
        <w:spacing w:after="40" w:before="0"/>
        <w:ind w:left="0"/>
      </w:pPr>
      <w:r>
        <w:rPr>
          <w:b/>
        </w:rPr>
        <w:t>Restitution</w:t>
      </w:r>
    </w:p>
    <w:p>
      <w:pPr>
        <w:tabs>
          <w:tab w:pos="4876" w:val="left" w:leader="dot"/>
        </w:tabs>
        <w:spacing w:after="160" w:before="0"/>
        <w:ind w:left="340"/>
      </w:pPr>
      <w:r>
        <w:rPr>
          <w:b w:val="0"/>
        </w:rPr>
        <w:t xml:space="preserve">Le </w:t>
      </w:r>
      <w:r>
        <w:tab/>
      </w:r>
      <w:r>
        <w:rPr>
          <w:b w:val="0"/>
        </w:rPr>
        <w:t xml:space="preserve"> par </w:t>
      </w:r>
      <w:r>
        <w:rPr>
          <w:b w:val="0"/>
        </w:rPr>
        <w:t xml:space="preserve"> ☐ virement </w:t>
      </w:r>
      <w:r>
        <w:rPr>
          <w:b w:val="0"/>
        </w:rPr>
        <w:t xml:space="preserve"> </w:t>
      </w:r>
      <w:r>
        <w:rPr>
          <w:b w:val="0"/>
        </w:rPr>
        <w:t xml:space="preserve"> ☐ libération par la banque </w:t>
      </w:r>
    </w:p>
    <w:p>
      <w:pPr>
        <w:spacing w:after="40" w:before="0"/>
        <w:ind w:left="0"/>
      </w:pPr>
      <w:r>
        <w:rPr>
          <w:b/>
        </w:rPr>
        <w:t>Compte ou banque</w:t>
      </w:r>
    </w:p>
    <w:p>
      <w:pPr>
        <w:tabs>
          <w:tab w:pos="9751" w:val="left" w:leader="dot"/>
        </w:tabs>
        <w:spacing w:after="160" w:before="0"/>
        <w:ind w:left="340"/>
      </w:pPr>
      <w:r>
        <w:tab/>
      </w:r>
    </w:p>
    <w:p>
      <w:pPr>
        <w:spacing w:after="40" w:before="0"/>
        <w:ind w:left="0"/>
      </w:pPr>
      <w:r>
        <w:rPr>
          <w:b/>
        </w:rPr>
        <w:t>Reste à restituer</w:t>
      </w:r>
    </w:p>
    <w:p>
      <w:pPr>
        <w:tabs>
          <w:tab w:pos="9751" w:val="left" w:leader="dot"/>
        </w:tabs>
        <w:spacing w:after="160" w:before="0"/>
        <w:ind w:left="340"/>
      </w:pPr>
      <w:r>
        <w:tab/>
      </w:r>
    </w:p>
    <w:p>
      <w:pPr>
        <w:spacing w:after="120" w:before="0"/>
        <w:ind w:left="0"/>
      </w:pPr>
      <w:r>
        <w:rPr>
          <w:b w:val="0"/>
        </w:rPr>
        <w:t>Les justificatifs des retenues éventuelles sont joints. Si la sortie est conforme à l’entrée, sauf usure et vétusté normale, et si le bailleur ne réclame ni arriérés de loyer ni dégâts locatifs, la moitié de la garantie est à restituer dans un délai maximal d’un mois à partir de la remise des clés ; toute retenue est justifiée par des pièces dans ce délai. Le solde suit au plus tard dans le mois qui suit la réception des décomptes de charges ou l’approbation des comptes de la copropriété (loi du 21 septembre 2006, article 5).</w:t>
      </w:r>
    </w:p>
    <w:p>
      <w:pPr>
        <w:spacing w:after="0" w:before="0" w:line="20" w:lineRule="exact"/>
        <w:ind w:left="0"/>
      </w:pPr>
      <w:r>
        <w:rPr>
          <w:sz w:val="2"/>
        </w:rPr>
      </w:r>
    </w:p>
    <w:tbl>
      <w:tblPr>
        <w:tblW w:type="auto" w:w="0"/>
        <w:tblLook w:firstColumn="1" w:firstRow="1" w:lastColumn="0" w:lastRow="0" w:noHBand="0" w:noVBand="1" w:val="04A0"/>
      </w:tblPr>
      <w:tblGrid>
        <w:gridCol w:w="4876"/>
        <w:gridCol w:w="4876"/>
      </w:tblGrid>
      <w:tr>
        <w:tc>
          <w:tcPr>
            <w:tcW w:type="dxa" w:w="4876"/>
          </w:tcPr>
          <w:p/>
        </w:tc>
        <w:tc>
          <w:tcPr>
            <w:tcW w:type="dxa" w:w="4876"/>
          </w:tcPr>
          <w:p>
            <w:r>
              <w:rPr>
                <w:b/>
              </w:rPr>
              <w:t>Le bailleur ou son mandataire</w:t>
            </w:r>
          </w:p>
          <w:p>
            <w:r>
              <w:rPr>
                <w:b w:val="0"/>
                <w:color w:val="64748B"/>
                <w:sz w:val="18"/>
              </w:rPr>
              <w:t>Date et signature</w:t>
            </w:r>
          </w:p>
        </w:tc>
      </w:tr>
    </w:tbl>
    <w:sectPr w:rsidR="00FC693F" w:rsidRPr="0006063C" w:rsidSect="00034616">
      <w:footerReference w:type="default" r:id="rId9"/>
      <w:pgSz w:w="11906" w:h="16838"/>
      <w:pgMar w:top="850"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6"/>
      </w:rPr>
      <w:t>Modèle gratuit : autlu.com/garantie-locative-luxembourg   ·   Loi du 21 septembre 2006 sur le bail à usage d’habitation, article 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Restitution de la garantie locative</dc:title>
  <dc:subject/>
  <dc:creator/>
  <cp:keywords/>
  <dc:description/>
  <cp:lastModifiedBy/>
  <cp:revision>1</cp:revision>
  <dcterms:created xsi:type="dcterms:W3CDTF">2013-12-23T23:15:00Z</dcterms:created>
  <dcterms:modified xsi:type="dcterms:W3CDTF">2013-12-23T23:15:00Z</dcterms:modified>
  <cp:category/>
</cp:coreProperties>
</file>